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B58F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Chell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Cooke MA, LPC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008688" wp14:editId="1735B792">
            <wp:simplePos x="0" y="0"/>
            <wp:positionH relativeFrom="column">
              <wp:posOffset>-106678</wp:posOffset>
            </wp:positionH>
            <wp:positionV relativeFrom="paragraph">
              <wp:posOffset>-44448</wp:posOffset>
            </wp:positionV>
            <wp:extent cx="3552825" cy="71056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70E040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they/them</w:t>
      </w:r>
    </w:p>
    <w:p w14:paraId="4F57E505" w14:textId="7BFBFDAE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p: </w:t>
      </w:r>
      <w:r>
        <w:rPr>
          <w:rFonts w:ascii="Century Gothic" w:eastAsia="Century Gothic" w:hAnsi="Century Gothic" w:cs="Century Gothic"/>
          <w:sz w:val="20"/>
          <w:szCs w:val="20"/>
        </w:rPr>
        <w:t>503-389-0098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|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f: 503-894-6020   </w:t>
      </w:r>
    </w:p>
    <w:bookmarkStart w:id="0" w:name="_heading=h.gjdgxs" w:colFirst="0" w:colLast="0"/>
    <w:bookmarkEnd w:id="0"/>
    <w:p w14:paraId="79F9CEA0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fldChar w:fldCharType="begin"/>
      </w:r>
      <w:r>
        <w:instrText xml:space="preserve"> HYPERLINK "mailto:chell@bravespacellc.com" \h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0"/>
          <w:szCs w:val="20"/>
          <w:u w:val="single"/>
        </w:rPr>
        <w:t>chell@bravespacellc.com</w:t>
      </w:r>
      <w:r>
        <w:rPr>
          <w:rFonts w:ascii="Century Gothic" w:eastAsia="Century Gothic" w:hAnsi="Century Gothic" w:cs="Century Gothic"/>
          <w:color w:val="1155CC"/>
          <w:sz w:val="20"/>
          <w:szCs w:val="20"/>
          <w:u w:val="single"/>
        </w:rPr>
        <w:fldChar w:fldCharType="end"/>
      </w:r>
    </w:p>
    <w:p w14:paraId="7F78B9D8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3620 SE Powell Blvd, #102, PDX OR 97202</w:t>
      </w:r>
    </w:p>
    <w:p w14:paraId="557E9F0F" w14:textId="77777777" w:rsidR="00C04563" w:rsidRDefault="00C04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5A8EB92" w14:textId="77777777" w:rsidR="00C04563" w:rsidRDefault="00C04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6C623A2B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PROFESSIONAL DISCLOSURE STATEMENT</w:t>
      </w:r>
    </w:p>
    <w:p w14:paraId="0F5E86D3" w14:textId="77777777" w:rsidR="00C04563" w:rsidRDefault="00C04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867023A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4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Philosophy and Approach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: </w:t>
      </w:r>
      <w:r>
        <w:rPr>
          <w:rFonts w:ascii="Century Gothic" w:eastAsia="Century Gothic" w:hAnsi="Century Gothic" w:cs="Century Gothic"/>
          <w:sz w:val="18"/>
          <w:szCs w:val="18"/>
        </w:rPr>
        <w:t>I am a Licensed Professional Counselor who has focused on supporting queer and trans folks for the past 5 years. My approach is guided by person-centered and trauma-informed principles. I believe that you are the expert on your lif</w:t>
      </w:r>
      <w:r>
        <w:rPr>
          <w:rFonts w:ascii="Century Gothic" w:eastAsia="Century Gothic" w:hAnsi="Century Gothic" w:cs="Century Gothic"/>
          <w:sz w:val="18"/>
          <w:szCs w:val="18"/>
        </w:rPr>
        <w:t>e and your needs, and I am committed to supporting you without judgment. I strive to be mindful of the prevalence of trauma and how its impacts may show up in our work together. I want to prioritize your comfort and remind you that you are always in charge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of the information you do and do not share with me. While providing assessments for medical care, my goal is to be useful to you. I hope to make the often tiring and invalidating process of seeking medical care easier by honoring your requests and helping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you get your needs met.</w:t>
      </w:r>
    </w:p>
    <w:p w14:paraId="62CD400A" w14:textId="77777777" w:rsidR="00C04563" w:rsidRDefault="00C04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4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771E98B8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4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Formal Education and Training: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I hold a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Master’s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degree in Clinical Mental Health Counseling from The Ohio State University. I have completed all parts of my formal training in Eye Movement Desensitization and Reprocessing with th</w:t>
      </w:r>
      <w:r>
        <w:rPr>
          <w:rFonts w:ascii="Century Gothic" w:eastAsia="Century Gothic" w:hAnsi="Century Gothic" w:cs="Century Gothic"/>
          <w:sz w:val="18"/>
          <w:szCs w:val="18"/>
        </w:rPr>
        <w:t>e Institute for Creative Mindfulness. I am also required to complete annual continuing education requirements. Through these continuing education experiences, I have received training in a wide variety of theories and areas of focus, including, but not lim</w:t>
      </w:r>
      <w:r>
        <w:rPr>
          <w:rFonts w:ascii="Century Gothic" w:eastAsia="Century Gothic" w:hAnsi="Century Gothic" w:cs="Century Gothic"/>
          <w:sz w:val="18"/>
          <w:szCs w:val="18"/>
        </w:rPr>
        <w:t>ited to, Acceptance and Commitment Therapy, Emotion-Focused Therapy for couples, mindfulness-based interventions, and considerations of care for LGBTQ+ individuals.</w:t>
      </w:r>
    </w:p>
    <w:p w14:paraId="6BD5C9EB" w14:textId="77777777" w:rsidR="00C04563" w:rsidRDefault="00C04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4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3B03EFA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4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Hours and Session Length:</w:t>
      </w: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Our sessions are generally a 1 time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occurrence, and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may last fro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m 30-120 minutes. If you need further planning and preparation for your medical care, we may schedule 1 additional session, or we can refer you to ongoing counseling for further care. My services to you include the writing of a letter of support, referral </w:t>
      </w:r>
      <w:r>
        <w:rPr>
          <w:rFonts w:ascii="Century Gothic" w:eastAsia="Century Gothic" w:hAnsi="Century Gothic" w:cs="Century Gothic"/>
          <w:sz w:val="18"/>
          <w:szCs w:val="18"/>
        </w:rPr>
        <w:t>to the medical provider of your choice, any consultation or advocacy that is needed, and updates of letters if they expire or if you seek another kind of medical procedure.</w:t>
      </w:r>
    </w:p>
    <w:p w14:paraId="1B6CA103" w14:textId="77777777" w:rsidR="00C04563" w:rsidRDefault="00C04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4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3169BFAA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4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Payment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Most clients seen at Brave Space are using OHP insurance, which pays for most of the session fees. You may have a $3 copay. Clients are fully responsible for the payment of all copays for services at the time of service, and if insurance ends, must discuss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client payment for ongoing service. Checks, credit cards, and cash are accepted forms of payment and payable at the beginning of the session. Fees are$200 for a </w:t>
      </w:r>
      <w:proofErr w:type="gram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60 minute</w:t>
      </w:r>
      <w:proofErr w:type="gram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session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. </w:t>
      </w:r>
    </w:p>
    <w:p w14:paraId="40EAB2DA" w14:textId="77777777" w:rsidR="00C04563" w:rsidRDefault="00C045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4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p w14:paraId="06DC23B9" w14:textId="77777777" w:rsidR="00C04563" w:rsidRDefault="007A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4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Client Rights and Confidentiality</w:t>
      </w:r>
    </w:p>
    <w:p w14:paraId="46533178" w14:textId="77777777" w:rsidR="00C04563" w:rsidRDefault="007A5D55">
      <w:pPr>
        <w:spacing w:after="0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As a client of an intern supervised by </w:t>
      </w:r>
      <w:r>
        <w:rPr>
          <w:rFonts w:ascii="Century Gothic" w:eastAsia="Century Gothic" w:hAnsi="Century Gothic" w:cs="Century Gothic"/>
          <w:sz w:val="18"/>
          <w:szCs w:val="18"/>
        </w:rPr>
        <w:t>a licensed professional counselor you have the following rights:</w:t>
      </w:r>
    </w:p>
    <w:p w14:paraId="009DAA74" w14:textId="77777777" w:rsidR="00C04563" w:rsidRDefault="007A5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To expect that a licensee has met the minimal qualifications of training and experience required by law</w:t>
      </w:r>
    </w:p>
    <w:p w14:paraId="3BA0E029" w14:textId="77777777" w:rsidR="00C04563" w:rsidRDefault="007A5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To examine records maintained by the Board and to have the Board confirm credentials of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licensee</w:t>
      </w:r>
    </w:p>
    <w:p w14:paraId="25C44B55" w14:textId="77777777" w:rsidR="00C04563" w:rsidRDefault="007A5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To obtain a copy of the Code of Ethics</w:t>
      </w:r>
    </w:p>
    <w:p w14:paraId="768AB0ED" w14:textId="77777777" w:rsidR="00C04563" w:rsidRDefault="007A5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To report complaints to the Board</w:t>
      </w:r>
    </w:p>
    <w:p w14:paraId="41B26504" w14:textId="77777777" w:rsidR="00C04563" w:rsidRDefault="007A5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To be informed of the cost of professional services before receiving the services</w:t>
      </w:r>
    </w:p>
    <w:p w14:paraId="73DA1A19" w14:textId="77777777" w:rsidR="00C04563" w:rsidRDefault="007A5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To be assured of privacy and confidentiality while receiving services as defined by rule and law, including the following exceptions: 1) Reporting suspected child abuse; 2) Reporting imminent danger to client or others; 3) Reporting information required in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court proceedings or by client’s insurance company, or other relevant agencies; 4) Providing information concerning licensee case consultation or supervision; and 5) Defending claims brought by client against licensee</w:t>
      </w:r>
    </w:p>
    <w:p w14:paraId="11283482" w14:textId="77777777" w:rsidR="00C04563" w:rsidRDefault="007A5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To be free from discrimination becaus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e of age, color, culture, disability, ethnicity, national origin, gender, race, religion, sexual orientation, marital status, or socioeconomic status.</w:t>
      </w:r>
    </w:p>
    <w:p w14:paraId="4E7329C8" w14:textId="77777777" w:rsidR="00C04563" w:rsidRDefault="00C04563">
      <w:pPr>
        <w:spacing w:after="0"/>
        <w:ind w:left="0" w:hanging="2"/>
        <w:rPr>
          <w:rFonts w:ascii="Century Gothic" w:eastAsia="Century Gothic" w:hAnsi="Century Gothic" w:cs="Century Gothic"/>
          <w:sz w:val="18"/>
          <w:szCs w:val="18"/>
          <w:highlight w:val="yellow"/>
        </w:rPr>
      </w:pPr>
    </w:p>
    <w:p w14:paraId="3316AD3B" w14:textId="77777777" w:rsidR="00C04563" w:rsidRDefault="007A5D55">
      <w:pPr>
        <w:spacing w:after="0"/>
        <w:ind w:left="0"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You may contact the Board of Professional Counselors and Therapists at 3218 Pringle Rd SE #120, Salem, OR, 97302. Telephone: 503-378-5499. Email </w:t>
      </w:r>
      <w:r>
        <w:rPr>
          <w:rFonts w:ascii="Times New Roman" w:eastAsia="Times New Roman" w:hAnsi="Times New Roman" w:cs="Times New Roman"/>
          <w:color w:val="0000FF"/>
          <w:sz w:val="18"/>
          <w:szCs w:val="18"/>
        </w:rPr>
        <w:t>lpct.board@oregon.gov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Website</w:t>
      </w:r>
      <w:hyperlink r:id="rId7">
        <w:r>
          <w:rPr>
            <w:rFonts w:ascii="Century Gothic" w:eastAsia="Century Gothic" w:hAnsi="Century Gothic" w:cs="Century Gothic"/>
            <w:sz w:val="18"/>
            <w:szCs w:val="18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www.oregon.gov/OBLPCT</w:t>
        </w:r>
      </w:hyperlink>
    </w:p>
    <w:sectPr w:rsidR="00C04563">
      <w:pgSz w:w="12240" w:h="15840"/>
      <w:pgMar w:top="630" w:right="1440" w:bottom="810" w:left="1170" w:header="720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D29"/>
    <w:multiLevelType w:val="multilevel"/>
    <w:tmpl w:val="B5F2A84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0739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63"/>
    <w:rsid w:val="007A5D55"/>
    <w:rsid w:val="00C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0F4D5"/>
  <w15:docId w15:val="{AB3258FD-574F-894A-BFAE-9B85AE3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pPr>
      <w:tabs>
        <w:tab w:val="right" w:pos="936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</w:rPr>
  </w:style>
  <w:style w:type="paragraph" w:customStyle="1" w:styleId="Body">
    <w:name w:val="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BLPC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egon.gov/OBLP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moeDjcSRvigMuG/z5jVAXBDKg==">AMUW2mVnPUrk9Ji0B6/b7/EMBOxGhIK5yBSAur0mXSvNTqa8Ygck2hTBUA0IdekWqaYPg/HAUAdi5hfXwloMNf7QRoZFaEX+DpD1/0VGks3fd7wzL7+ao0Hrm2cKi/KunC8fGnT2fLVy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</dc:creator>
  <cp:lastModifiedBy>Microsoft Office User</cp:lastModifiedBy>
  <cp:revision>2</cp:revision>
  <dcterms:created xsi:type="dcterms:W3CDTF">2016-05-16T18:32:00Z</dcterms:created>
  <dcterms:modified xsi:type="dcterms:W3CDTF">2022-05-07T22:11:00Z</dcterms:modified>
</cp:coreProperties>
</file>